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9" w:lineRule="auto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sz w:val="36"/>
          <w:szCs w:val="36"/>
        </w:rPr>
        <w:drawing>
          <wp:inline distB="0" distT="0" distL="0" distR="0">
            <wp:extent cx="885825" cy="8858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i w:val="1"/>
          <w:sz w:val="36"/>
          <w:szCs w:val="36"/>
          <w:rtl w:val="0"/>
        </w:rPr>
        <w:t xml:space="preserve">Movimento 5 Stelle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Casalgrande</w:t>
      </w:r>
    </w:p>
    <w:p w:rsidR="00000000" w:rsidDel="00000000" w:rsidP="00000000" w:rsidRDefault="00000000" w:rsidRPr="00000000" w14:paraId="00000002">
      <w:pPr>
        <w:spacing w:after="160" w:line="259" w:lineRule="auto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9" w:lineRule="auto"/>
        <w:jc w:val="right"/>
        <w:rPr>
          <w:rFonts w:ascii="Cambria Math" w:cs="Cambria Math" w:eastAsia="Cambria Math" w:hAnsi="Cambria Math"/>
          <w:sz w:val="22"/>
          <w:szCs w:val="22"/>
        </w:rPr>
      </w:pPr>
      <w:r w:rsidDel="00000000" w:rsidR="00000000" w:rsidRPr="00000000">
        <w:rPr>
          <w:rFonts w:ascii="Cambria Math" w:cs="Cambria Math" w:eastAsia="Cambria Math" w:hAnsi="Cambria Math"/>
          <w:sz w:val="22"/>
          <w:szCs w:val="22"/>
          <w:rtl w:val="0"/>
        </w:rPr>
        <w:t xml:space="preserve">Al Presidente del Consiglio C. di Casalgrande </w:t>
      </w:r>
    </w:p>
    <w:p w:rsidR="00000000" w:rsidDel="00000000" w:rsidP="00000000" w:rsidRDefault="00000000" w:rsidRPr="00000000" w14:paraId="00000004">
      <w:pPr>
        <w:spacing w:after="160" w:line="259" w:lineRule="auto"/>
        <w:jc w:val="right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Fonts w:ascii="Cambria Math" w:cs="Cambria Math" w:eastAsia="Cambria Math" w:hAnsi="Cambria Math"/>
          <w:sz w:val="22"/>
          <w:szCs w:val="22"/>
          <w:rtl w:val="0"/>
        </w:rPr>
        <w:t xml:space="preserve">Al Sindaco e alla Giunta,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60" w:line="259" w:lineRule="auto"/>
        <w:jc w:val="right"/>
        <w:rPr/>
      </w:pPr>
      <w:r w:rsidDel="00000000" w:rsidR="00000000" w:rsidRPr="00000000">
        <w:rPr>
          <w:rFonts w:ascii="Cambria Math" w:cs="Cambria Math" w:eastAsia="Cambria Math" w:hAnsi="Cambria Math"/>
          <w:sz w:val="22"/>
          <w:szCs w:val="22"/>
          <w:rtl w:val="0"/>
        </w:rPr>
        <w:t xml:space="preserve">P.c., a tutti i Capigruppo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spacing w:after="120" w:before="240" w:lineRule="auto"/>
        <w:jc w:val="left"/>
        <w:rPr>
          <w:rFonts w:ascii="Lustria" w:cs="Lustria" w:eastAsia="Lustria" w:hAnsi="Lustr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spacing w:after="120" w:before="240" w:lineRule="auto"/>
        <w:jc w:val="left"/>
        <w:rPr>
          <w:rFonts w:ascii="Lustria" w:cs="Lustria" w:eastAsia="Lustria" w:hAnsi="Lustria"/>
          <w:sz w:val="24"/>
          <w:szCs w:val="24"/>
        </w:rPr>
      </w:pPr>
      <w:r w:rsidDel="00000000" w:rsidR="00000000" w:rsidRPr="00000000">
        <w:rPr>
          <w:rFonts w:ascii="Lustria" w:cs="Lustria" w:eastAsia="Lustria" w:hAnsi="Lustria"/>
          <w:sz w:val="24"/>
          <w:szCs w:val="24"/>
          <w:rtl w:val="0"/>
        </w:rPr>
        <w:t xml:space="preserve">Oggetto: Mozione su Comunità energetiche e autoconsumo collettivo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La questione ambientale è risolvibile solo con una radicale presa di coscienza collettiva che vede nell’azione di chi amministra un punto di riferimento imprescindibile.</w:t>
        <w:br w:type="textWrapping"/>
        <w:t xml:space="preserve">Bisogna perciò evitare di considerare il collasso ecologico un rischio a lungo termine, come spesso purtroppo viene percepito, offrendo un alibi adatto a giustificare continui rinvii di azioni e provvedimenti che potrebbero contribuire in modo rilevante a custodire il Pianeta.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                                                                                                               </w:t>
      </w: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Il rischio ambientale, non è causato dalle calamità naturali, ma è principalmente il prodotto dell’attività umana.</w:t>
        <w:br w:type="textWrapping"/>
        <w:t xml:space="preserve">Per questa ragione è indispensabile agire, in particolare, per modificare alcune abitudini sociali 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in </w:t>
      </w: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cui nel tempo ci siamo radicati, senza riuscire ad immaginare soluzioni alternative, sostenibili e più economiche. </w:t>
        <w:br w:type="textWrapping"/>
        <w:t xml:space="preserve">Spesso queste pratiche non sono altro che imposizioni di sistema, che favoriscono il profitto di pochi a discapito del bene comune.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                                                                        </w:t>
      </w: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Tanto è stato detto, scritto e (un po' meno) fatto, per sensibilizzare le coscienze e promuovere un maggiore rispetto per l’ambiente.</w:t>
        <w:br w:type="textWrapping"/>
        <w:t xml:space="preserve">Nonostante a livello internazionale tanti Paesi siano giunti ad un accordo sugli obiettivi da perseguire, è indispensabile da parte della società civile e amministrativa pubblica, un sostegno più ampio di quello che attualmente si registra, perchè il rischio di oltrepassare quel famoso limite di non ritorno è reale, e ci impone di agire senza indugi.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Chiediamo perciò che venga messa all’OdG del prossimo Consiglio Comunale la seguente Mozione 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ustria" w:cs="Lustria" w:eastAsia="Lustria" w:hAnsi="Lust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PREMESSO CHE</w:t>
      </w: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–  I cambiamenti climatici e il degrado ambientale rappresentano una minaccia enorme per l’Europa e per il mondo. Una risposta forte a tali sfide viene data dalla Commissione europea con il </w:t>
      </w:r>
      <w:r w:rsidDel="00000000" w:rsidR="00000000" w:rsidRPr="00000000">
        <w:rPr>
          <w:rFonts w:ascii="Lustria" w:cs="Lustria" w:eastAsia="Lustria" w:hAnsi="Lustria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“Green Deal Europeo” </w:t>
      </w: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che individua una strategia di crescita mirata a trasformare l’Unione Europea in una società equa e prospera, dotata di un’economia competitiva ed efficiente sotto il profilo delle risorse, che nel 2050 non genererà emissioni nette di gas a effetto serra e in cui la crescita economica sarà sostenibile;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– La Commissione Europea raccomanda altresì agli Stati membri di adottare </w:t>
      </w:r>
      <w:r w:rsidDel="00000000" w:rsidR="00000000" w:rsidRPr="00000000">
        <w:rPr>
          <w:rFonts w:ascii="Lustria" w:cs="Lustria" w:eastAsia="Lustria" w:hAnsi="Lustria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misure adeguate ad affrontare la “povertà energetica”</w:t>
      </w: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– determinata da una combinazione di basso reddito, elevata spesa per l’energia e scarsa efficienza energetica – che rischia di </w:t>
      </w: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affliggere</w:t>
      </w: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fino all’11% dell’intera popolazione dell’Unione Europea;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– Nell’ambito del pacchetto </w:t>
      </w:r>
      <w:r w:rsidDel="00000000" w:rsidR="00000000" w:rsidRPr="00000000">
        <w:rPr>
          <w:rFonts w:ascii="Lustria" w:cs="Lustria" w:eastAsia="Lustria" w:hAnsi="Lustria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“Clean Energy for all Europeans” </w:t>
      </w: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(Energia pulita per tutti i cittadini europei), la Direttiva europea in tema di promozione delle fonti rinnovabili (</w:t>
      </w:r>
      <w:r w:rsidDel="00000000" w:rsidR="00000000" w:rsidRPr="00000000">
        <w:rPr>
          <w:rFonts w:ascii="Lustria" w:cs="Lustria" w:eastAsia="Lustria" w:hAnsi="Lustria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UE 2018/2001</w:t>
      </w: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) – nota anche come RED II – riconosce e promuove le configurazioni di </w:t>
      </w:r>
      <w:r w:rsidDel="00000000" w:rsidR="00000000" w:rsidRPr="00000000">
        <w:rPr>
          <w:rFonts w:ascii="Lustria" w:cs="Lustria" w:eastAsia="Lustria" w:hAnsi="Lustria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Autoconsumo collettivo </w:t>
      </w: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 di </w:t>
      </w:r>
      <w:r w:rsidDel="00000000" w:rsidR="00000000" w:rsidRPr="00000000">
        <w:rPr>
          <w:rFonts w:ascii="Lustria" w:cs="Lustria" w:eastAsia="Lustria" w:hAnsi="Lustria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Comunità energetiche</w:t>
      </w: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– Che coerentemente agli indirizzi europei, l’Italia ha adottato il </w:t>
      </w:r>
      <w:r w:rsidDel="00000000" w:rsidR="00000000" w:rsidRPr="00000000">
        <w:rPr>
          <w:rFonts w:ascii="Lustria" w:cs="Lustria" w:eastAsia="Lustria" w:hAnsi="Lustria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Piano Nazionale Integrato Energia Clima (PNIEC) </w:t>
      </w: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nel quale vengono individuati gli obiettivi da raggiungere per il 2030, perseguiti anche attraverso la promozione dell’autoconsumo e delle comunità dell’energia rinnovabile;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ustria" w:cs="Lustria" w:eastAsia="Lustria" w:hAnsi="Lustria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TENUTO CONTO CHE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– l’Italia con le disposizioni contenute all’</w:t>
      </w:r>
      <w:r w:rsidDel="00000000" w:rsidR="00000000" w:rsidRPr="00000000">
        <w:rPr>
          <w:rFonts w:ascii="Lustria" w:cs="Lustria" w:eastAsia="Lustria" w:hAnsi="Lustria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art. 42-bis del decreto legge 30 dicembre 2019, n. 162 </w:t>
      </w: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(convertito con modificazioni dalla </w:t>
      </w:r>
      <w:r w:rsidDel="00000000" w:rsidR="00000000" w:rsidRPr="00000000">
        <w:rPr>
          <w:rFonts w:ascii="Lustria" w:cs="Lustria" w:eastAsia="Lustria" w:hAnsi="Lustria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legge 28 febbraio 2020, n. 8</w:t>
      </w: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) ha disciplinato in anticipo la fase di recepimento della Direttiva RED II, rendendo possibile la condivisione tra più cittadini dell’energia elettrica prodotta da impianti alimentati a fonti rinnovabili (superando il precedente limite che consentiva solo l’autoconsumo);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– la normativa citata consente ai consumatori di energia elettrica di associarsi al fine di realizzare configurazioni di: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1) </w:t>
      </w:r>
      <w:r w:rsidDel="00000000" w:rsidR="00000000" w:rsidRPr="00000000">
        <w:rPr>
          <w:rFonts w:ascii="Lustria" w:cs="Lustria" w:eastAsia="Lustria" w:hAnsi="Lustria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Autoconsumo collettivo</w:t>
      </w: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, che può essere attivato da famiglie e altri soggetti che si trovano nello stesso edificio o condominio (purché i soggetti diversi dalle famiglie non producano energia come attività principale);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2) </w:t>
      </w:r>
      <w:r w:rsidDel="00000000" w:rsidR="00000000" w:rsidRPr="00000000">
        <w:rPr>
          <w:rFonts w:ascii="Lustria" w:cs="Lustria" w:eastAsia="Lustria" w:hAnsi="Lustria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Comunità energetiche</w:t>
      </w: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, alle quali possono partecipare enti territoriali o autorità locali, comprese le amministrazioni comunali, persone fisiche, piccole e medie imprese.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– Che ai membri che aderiscono alle configurazioni viene riconosciuto: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1) un </w:t>
      </w:r>
      <w:r w:rsidDel="00000000" w:rsidR="00000000" w:rsidRPr="00000000">
        <w:rPr>
          <w:rFonts w:ascii="Lustria" w:cs="Lustria" w:eastAsia="Lustria" w:hAnsi="Lustria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beneficio diretto in termini di riduzione dei costi in bolletta </w:t>
      </w: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di alcune tariffe derivanti dal minor utilizzo del sistema elettrico quantificato in € 10/MWh (MegaWatt-ora) (ARERA – Autorità di Regolazione per Energia Reti e Ambiente);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2) una diminuzione del costo del consumo di energia, essendo autoprodotta ed auto-consumata;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3) una tariffa incentivante (erogata per la durata di 20 anni dal Gestore dei Servizi Energetici) strutturata per promuovere l’autoconsumo anche tramite l’impiego dei sistemi di accumulo.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– Che considerando l’effetto combinato dell’incentivo MISE, del beneficio diretto riconosciuto da ARERA e del PUN (Prezzo Unico Nazionale dell’energia elettrica), </w:t>
      </w:r>
      <w:r w:rsidDel="00000000" w:rsidR="00000000" w:rsidRPr="00000000">
        <w:rPr>
          <w:rFonts w:ascii="Lustria" w:cs="Lustria" w:eastAsia="Lustria" w:hAnsi="Lustria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si arriva ad una premialità pari a € 150-160/MWh  sull’energia auto-consumata da impianti a fonti rinnovabili</w:t>
      </w: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– Che l’articolo 119 del D.L. 19 maggio 2020 n. 34 – convertito con modificazioni dalla legge 17 luglio 2020, n. 77 (</w:t>
      </w:r>
      <w:r w:rsidDel="00000000" w:rsidR="00000000" w:rsidRPr="00000000">
        <w:rPr>
          <w:rFonts w:ascii="Lustria" w:cs="Lustria" w:eastAsia="Lustria" w:hAnsi="Lustria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Decreto Rilancio</w:t>
      </w: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), stabilisce che, in caso di riqualificazione complessa che includa anche “interventi trainanti” (interventi sugli impianti o sull’involucro), è possibile accedere alle detrazioni fiscali del 110% (</w:t>
      </w:r>
      <w:r w:rsidDel="00000000" w:rsidR="00000000" w:rsidRPr="00000000">
        <w:rPr>
          <w:rFonts w:ascii="Lustria" w:cs="Lustria" w:eastAsia="Lustria" w:hAnsi="Lustria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Superbonus</w:t>
      </w: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) anche per la realizzazione di impianti fotovoltaici e/o di sistemi di accumulo nel contesto di Autoconsumo collettivo e di Comunità energetiche, purché l’energia non auto-consumata o condivisa sia ceduta al GSE (Gestore Servizi Energetici).</w:t>
        <w:br w:type="textWrapping"/>
        <w:t xml:space="preserve">Per gli impianti fotovoltaici che accedono al Superbonus 110%, la tariffa incentivante ricordata è riconosciuta sulla produzione dovuta alla potenza eccedente quella ammessa al Superbonus (pari a 20 kW di potenza); la detrazione fiscale del 50% per gli impianti a fonti rinnovabili è estesa da 20 a 200 kW per un ammontare complessivo di spesa non superiore ai 96.000 euro (detrazione cumulabile con la tariffa incentivante). </w:t>
        <w:br w:type="textWrapping"/>
        <w:t xml:space="preserve">Inoltre – poiché le configurazioni non costituiranno svolgimento di attività commerciale abituale – si avrà una riduzione delle pratiche burocratiche necessarie alla loro implementazione e operatività;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CONSIDERATO CHE </w:t>
      </w: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br w:type="textWrapping"/>
        <w:t xml:space="preserve">gli Enti pubblici e territoriali, i cittadini e le Piccole Medie Imprese possono quindi attivarsi collettivamente anche grazie a consistenti strumenti di incentivazione per sostenere la creazione di tali configurazioni, che: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140" w:before="0" w:line="276" w:lineRule="auto"/>
        <w:ind w:left="0" w:right="0" w:hanging="283"/>
        <w:jc w:val="left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riducono i costi della bolletta elettrica;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140" w:before="0" w:line="276" w:lineRule="auto"/>
        <w:ind w:left="0" w:right="0" w:hanging="283"/>
        <w:jc w:val="left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alimentano la crescita economica, sostenibile e sociale;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140" w:before="0" w:line="276" w:lineRule="auto"/>
        <w:ind w:left="0" w:right="0" w:hanging="283"/>
        <w:jc w:val="left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abbattono le emissioni inquinanti;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76" w:lineRule="auto"/>
        <w:ind w:left="0" w:right="0" w:hanging="283"/>
        <w:jc w:val="left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riducono i conseguenti impatti ambientali e sanitari, fortemente presenti nei centri urbani;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ustria" w:cs="Lustria" w:eastAsia="Lustria" w:hAnsi="Lustria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CONSIDERATO INOLTRE CHE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140" w:before="0" w:line="276" w:lineRule="auto"/>
        <w:ind w:left="0" w:right="0" w:hanging="283"/>
        <w:jc w:val="left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la riduzione dei costi in bolletta per i membri che aderiscono alle configurazioni può essere lo strumento efficace da impiegare per affrontare il problema della povertà energetica che colpisce in particolare le famiglie con disagio economico;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140" w:before="0" w:line="276" w:lineRule="auto"/>
        <w:ind w:left="0" w:right="0" w:hanging="283"/>
        <w:jc w:val="left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gli Enti pubblici e quelli territoriali possono essere promotori sui propri territori di politiche sociali attive che coinvolgono i cittadini nella promozione e partecipazione nelle diverse forme di configurazioni contribuendo efficacemente ad affrontare e ridurre la povertà energetica tra i cittadini in particolare verso gli anziani;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76" w:lineRule="auto"/>
        <w:ind w:left="0" w:right="0" w:hanging="283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gli Enti pubblici e quelli territoriali potrebbero sostenere la creazione di configurazioni tra cittadini o tra enti e cittadini in cui gli impianti potrebbero essere realizzati dall’Ente anche su aree o coperture di edifici pubblici e l’energia prodotta potrebbe essere condivisa. </w:t>
      </w:r>
      <w:r w:rsidDel="00000000" w:rsidR="00000000" w:rsidRPr="00000000">
        <w:rPr>
          <w:rFonts w:ascii="Lustria" w:cs="Lustria" w:eastAsia="Lustria" w:hAnsi="Lustria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Ad esempio, si potrebbe realizzare una comunità energetica con un impianto installato sul tetto di una scuola utilizzando l’energia prodotta per la scuola stessa e cedendo l’eccedenza ai cittadini membri della comunità. </w:t>
      </w: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Considerato anche che gli Enti possono cumulare la tariffa incentivante anche con altri incentivi (come, ad esempio, quelli derivanti dal Fondo Kyoto, fondo efficienza e fondi di programmi europei).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TUTTO CIÒ PREMESSO E CONSIDERATO, SI INVITA: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il Sindaco e la Giunta comunale a: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– divulgare 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con tutti i mezzi disponibili</w:t>
      </w: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tra i cittadini le informazioni necessarie a promuovere la creazione di comunità energetiche e di sistemi di autoconsumo collettivo;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– promuovere sul territorio comunale la creazione di Comunità energetiche e di Autoconsumo collettivo, coinvolgendo i cittadini residenti e 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valutando il possibile impiego di </w:t>
      </w: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aree o edifici di proprietà comunale, sostenendo in via prioritaria gli interventi che generano benefici diretti con la riduzione dei costi in bolletta per i cittadini con maggiore disagio economico;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– promuovere analoghe iniziative in sede di Unione dei Comuni UTS.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Bottazzi Giorgio (Movimento 5 Stelle Casalgrande)</w:t>
      </w:r>
    </w:p>
    <w:p w:rsidR="00000000" w:rsidDel="00000000" w:rsidP="00000000" w:rsidRDefault="00000000" w:rsidRPr="00000000" w14:paraId="0000002F">
      <w:pPr>
        <w:jc w:val="left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Noto Sans Symbols"/>
  <w:font w:name="Lustria">
    <w:embedRegular w:fontKey="{00000000-0000-0000-0000-000000000000}" r:id="rId1" w:subsetted="0"/>
  </w:font>
  <w:font w:name="Liberation Serif"/>
  <w:font w:name="Cambria Math">
    <w:embedRegular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0" w:hanging="283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●"/>
      <w:lvlJc w:val="left"/>
      <w:pPr>
        <w:ind w:left="2121" w:hanging="283.0000000000002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656" w:hanging="282.9999999999991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0" w:hanging="283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●"/>
      <w:lvlJc w:val="left"/>
      <w:pPr>
        <w:ind w:left="2121" w:hanging="283.0000000000002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656" w:hanging="282.9999999999991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20" w:before="240" w:lineRule="auto"/>
    </w:pPr>
    <w:rPr>
      <w:rFonts w:ascii="Liberation Serif" w:cs="Liberation Serif" w:eastAsia="Liberation Serif" w:hAnsi="Liberation Serif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qFormat w:val="1"/>
    <w:pPr>
      <w:widowControl w:val="1"/>
      <w:bidi w:val="0"/>
    </w:pPr>
    <w:rPr>
      <w:rFonts w:ascii="Liberation Serif" w:cs="Lucida Sans" w:eastAsia="NSimSun" w:hAnsi="Liberation Serif"/>
      <w:color w:val="auto"/>
      <w:kern w:val="2"/>
      <w:sz w:val="24"/>
      <w:szCs w:val="24"/>
      <w:lang w:bidi="hi-IN" w:eastAsia="zh-CN" w:val="it-IT"/>
    </w:rPr>
  </w:style>
  <w:style w:type="paragraph" w:styleId="Titolo1">
    <w:name w:val="Heading 1"/>
    <w:basedOn w:val="Titolo"/>
    <w:next w:val="Corpodeltesto"/>
    <w:qFormat w:val="1"/>
    <w:pPr>
      <w:spacing w:after="120" w:before="240"/>
      <w:outlineLvl w:val="0"/>
    </w:pPr>
    <w:rPr>
      <w:rFonts w:ascii="Liberation Serif" w:cs="Lucida Sans" w:eastAsia="NSimSun" w:hAnsi="Liberation Serif"/>
      <w:b w:val="1"/>
      <w:bCs w:val="1"/>
      <w:sz w:val="48"/>
      <w:szCs w:val="48"/>
    </w:rPr>
  </w:style>
  <w:style w:type="character" w:styleId="Punti">
    <w:name w:val="Punti"/>
    <w:qFormat w:val="1"/>
    <w:rPr>
      <w:rFonts w:ascii="OpenSymbol" w:cs="OpenSymbol" w:eastAsia="OpenSymbol" w:hAnsi="OpenSymbol"/>
    </w:rPr>
  </w:style>
  <w:style w:type="character" w:styleId="CollegamentoInternet">
    <w:name w:val="Collegamento Internet"/>
    <w:rPr>
      <w:color w:val="000080"/>
      <w:u w:val="single"/>
      <w:lang w:bidi="zxx" w:eastAsia="zxx" w:val="zxx"/>
    </w:rPr>
  </w:style>
  <w:style w:type="character" w:styleId="Enfasiforte">
    <w:name w:val="Enfasi forte"/>
    <w:qFormat w:val="1"/>
    <w:rPr>
      <w:b w:val="1"/>
      <w:bCs w:val="1"/>
    </w:rPr>
  </w:style>
  <w:style w:type="paragraph" w:styleId="Titolo">
    <w:name w:val="Titolo"/>
    <w:basedOn w:val="Normal"/>
    <w:next w:val="Corpodeltesto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Corpodeltesto">
    <w:name w:val="Body Text"/>
    <w:basedOn w:val="Normal"/>
    <w:pPr>
      <w:spacing w:after="140" w:before="0" w:line="276" w:lineRule="auto"/>
    </w:pPr>
    <w:rPr/>
  </w:style>
  <w:style w:type="paragraph" w:styleId="Elenco">
    <w:name w:val="List"/>
    <w:basedOn w:val="Corpodeltesto"/>
    <w:pPr/>
    <w:rPr>
      <w:rFonts w:cs="Lucida Sans"/>
    </w:rPr>
  </w:style>
  <w:style w:type="paragraph" w:styleId="Didascalia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Indice">
    <w:name w:val="Indice"/>
    <w:basedOn w:val="Normal"/>
    <w:qFormat w:val="1"/>
    <w:pPr>
      <w:suppressLineNumbers w:val="1"/>
    </w:pPr>
    <w:rPr>
      <w:rFonts w:cs="Lucida San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ustria-regular.ttf"/><Relationship Id="rId2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XWw4w69LqKjAK6SEresm7iGp1Q==">AMUW2mUOCbIHT6D+8dQQhRm4anJ+QBJS8Gut9bN1VHn4VarDoqFNkhBw/n23sgdhMMEKlODJ+6UWJgJTXcV418D0vreCwTS2x94b6Nk7ri/Enzv25X5O3L0=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2020-12-31T13:45:09Z</dcterms:created>
</cp:coreProperties>
</file>