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59" w:before="0" w:after="160"/>
        <w:rPr>
          <w:rFonts w:ascii="Calibri" w:hAnsi="Calibri" w:eastAsia="Calibri" w:cs="" w:asciiTheme="minorHAnsi" w:cstheme="minorBidi" w:eastAsiaTheme="minorHAnsi" w:hAnsiTheme="minorHAnsi"/>
          <w:i/>
          <w:i/>
          <w:lang w:eastAsia="en-US" w:bidi="ar-SA"/>
        </w:rPr>
      </w:pPr>
      <w:r>
        <w:rPr/>
        <w:drawing>
          <wp:inline distT="0" distB="9525" distL="0" distR="9525">
            <wp:extent cx="885825" cy="885825"/>
            <wp:effectExtent l="0" t="0" r="0" b="0"/>
            <wp:docPr id="1" name="Elemento grafico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
                    <pic:cNvPicPr>
                      <a:picLocks noChangeAspect="1" noChangeArrowheads="1"/>
                    </pic:cNvPicPr>
                  </pic:nvPicPr>
                  <pic:blipFill>
                    <a:blip r:embed="rId2"/>
                    <a:stretch>
                      <a:fillRect/>
                    </a:stretch>
                  </pic:blipFill>
                  <pic:spPr bwMode="auto">
                    <a:xfrm>
                      <a:off x="0" y="0"/>
                      <a:ext cx="885825" cy="885825"/>
                    </a:xfrm>
                    <a:prstGeom prst="rect">
                      <a:avLst/>
                    </a:prstGeom>
                  </pic:spPr>
                </pic:pic>
              </a:graphicData>
            </a:graphic>
          </wp:inline>
        </w:drawing>
      </w:r>
      <w:r>
        <w:rPr>
          <w:rFonts w:eastAsia="Calibri" w:cs="" w:ascii="Calibri" w:hAnsi="Calibri" w:asciiTheme="minorHAnsi" w:cstheme="minorBidi" w:eastAsiaTheme="minorHAnsi" w:hAnsiTheme="minorHAnsi"/>
          <w:i/>
          <w:sz w:val="36"/>
          <w:szCs w:val="36"/>
          <w:lang w:eastAsia="en-US" w:bidi="ar-SA"/>
        </w:rPr>
        <w:t>Movimento 5 Stelle</w:t>
      </w:r>
      <w:r>
        <w:rPr>
          <w:rFonts w:eastAsia="Calibri" w:cs="" w:ascii="Calibri" w:hAnsi="Calibri" w:asciiTheme="minorHAnsi" w:cstheme="minorBidi" w:eastAsiaTheme="minorHAnsi" w:hAnsiTheme="minorHAnsi"/>
          <w:sz w:val="22"/>
          <w:szCs w:val="22"/>
          <w:lang w:eastAsia="en-US" w:bidi="ar-SA"/>
        </w:rPr>
        <w:t xml:space="preserve"> </w:t>
      </w:r>
      <w:r>
        <w:rPr>
          <w:rFonts w:eastAsia="Calibri" w:cs="" w:ascii="Calibri" w:hAnsi="Calibri" w:asciiTheme="minorHAnsi" w:cstheme="minorBidi" w:eastAsiaTheme="minorHAnsi" w:hAnsiTheme="minorHAnsi"/>
          <w:i/>
          <w:lang w:eastAsia="en-US" w:bidi="ar-SA"/>
        </w:rPr>
        <w:t>Casalgrande</w:t>
      </w:r>
    </w:p>
    <w:p>
      <w:pPr>
        <w:pStyle w:val="Normal"/>
        <w:suppressAutoHyphens w:val="false"/>
        <w:spacing w:lineRule="auto" w:line="259" w:before="0" w:after="160"/>
        <w:rPr>
          <w:rFonts w:ascii="Times New Roman" w:hAnsi="Times New Roman" w:eastAsia="Calibri" w:cs="Times New Roman" w:eastAsiaTheme="minorHAnsi"/>
          <w:i/>
          <w:i/>
          <w:sz w:val="22"/>
          <w:szCs w:val="22"/>
          <w:lang w:eastAsia="en-US" w:bidi="ar-SA"/>
        </w:rPr>
      </w:pPr>
      <w:r>
        <w:rPr>
          <w:rFonts w:eastAsia="Calibri" w:cs="Times New Roman" w:eastAsiaTheme="minorHAnsi" w:ascii="Times New Roman" w:hAnsi="Times New Roman"/>
          <w:i/>
          <w:sz w:val="22"/>
          <w:szCs w:val="22"/>
          <w:lang w:eastAsia="en-US" w:bidi="ar-SA"/>
        </w:rPr>
      </w:r>
    </w:p>
    <w:p>
      <w:pPr>
        <w:pStyle w:val="Normal"/>
        <w:suppressAutoHyphens w:val="false"/>
        <w:spacing w:lineRule="auto" w:line="259" w:before="0" w:after="160"/>
        <w:jc w:val="right"/>
        <w:rPr>
          <w:rFonts w:ascii="Cambria Math" w:hAnsi="Cambria Math" w:eastAsia="Calibri" w:cs="Helvetica-Bold" w:eastAsiaTheme="minorHAnsi"/>
          <w:bCs/>
          <w:sz w:val="22"/>
          <w:szCs w:val="22"/>
          <w:lang w:eastAsia="en-US" w:bidi="ar-SA"/>
        </w:rPr>
      </w:pPr>
      <w:r>
        <w:rPr>
          <w:rFonts w:eastAsia="Calibri" w:cs="Helvetica-Bold" w:ascii="Cambria Math" w:hAnsi="Cambria Math" w:eastAsiaTheme="minorHAnsi"/>
          <w:bCs/>
          <w:sz w:val="22"/>
          <w:szCs w:val="22"/>
          <w:lang w:eastAsia="en-US" w:bidi="ar-SA"/>
        </w:rPr>
        <w:t xml:space="preserve">Al Presidente del Consiglio C. di Casalgrande </w:t>
      </w:r>
    </w:p>
    <w:p>
      <w:pPr>
        <w:pStyle w:val="Normal"/>
        <w:suppressAutoHyphens w:val="false"/>
        <w:spacing w:lineRule="auto" w:line="259" w:before="0" w:after="160"/>
        <w:jc w:val="right"/>
        <w:rPr>
          <w:rFonts w:ascii="Times New Roman" w:hAnsi="Times New Roman" w:eastAsia="Calibri" w:cs="Times New Roman" w:eastAsiaTheme="minorHAnsi"/>
          <w:i/>
          <w:i/>
          <w:sz w:val="22"/>
          <w:szCs w:val="22"/>
          <w:lang w:eastAsia="en-US" w:bidi="ar-SA"/>
        </w:rPr>
      </w:pPr>
      <w:r>
        <w:rPr>
          <w:rFonts w:eastAsia="Calibri" w:cs="Helvetica-Bold" w:ascii="Cambria Math" w:hAnsi="Cambria Math" w:eastAsiaTheme="minorHAnsi"/>
          <w:bCs/>
          <w:sz w:val="22"/>
          <w:szCs w:val="22"/>
          <w:lang w:eastAsia="en-US" w:bidi="ar-SA"/>
        </w:rPr>
        <w:t>Al Sindaco e alla Giunta,</w:t>
      </w:r>
    </w:p>
    <w:p>
      <w:pPr>
        <w:pStyle w:val="Normal"/>
        <w:suppressAutoHyphens w:val="false"/>
        <w:spacing w:lineRule="auto" w:line="259" w:before="0" w:after="160"/>
        <w:jc w:val="right"/>
        <w:rPr>
          <w:rFonts w:ascii="Cambria Math" w:hAnsi="Cambria Math" w:eastAsia="Calibri" w:cs="Helvetica-Bold" w:eastAsiaTheme="minorHAnsi"/>
          <w:bCs/>
          <w:sz w:val="22"/>
          <w:szCs w:val="22"/>
          <w:lang w:eastAsia="en-US" w:bidi="ar-SA"/>
        </w:rPr>
      </w:pPr>
      <w:r>
        <w:rPr>
          <w:rFonts w:eastAsia="Calibri" w:cs="Helvetica-Bold" w:ascii="Cambria Math" w:hAnsi="Cambria Math" w:eastAsiaTheme="minorHAnsi"/>
          <w:bCs/>
          <w:sz w:val="22"/>
          <w:szCs w:val="22"/>
          <w:lang w:eastAsia="en-US" w:bidi="ar-SA"/>
        </w:rPr>
        <w:t>P.c., a tutti i Capigruppo</w:t>
      </w:r>
    </w:p>
    <w:p>
      <w:pPr>
        <w:pStyle w:val="Normal"/>
        <w:rPr>
          <w:sz w:val="30"/>
          <w:szCs w:val="30"/>
        </w:rPr>
      </w:pPr>
      <w:r>
        <w:rPr>
          <w:sz w:val="30"/>
          <w:szCs w:val="30"/>
        </w:rPr>
      </w:r>
    </w:p>
    <w:p>
      <w:pPr>
        <w:pStyle w:val="Normal"/>
        <w:rPr>
          <w:sz w:val="30"/>
          <w:szCs w:val="30"/>
        </w:rPr>
      </w:pPr>
      <w:r>
        <w:rPr>
          <w:sz w:val="30"/>
          <w:szCs w:val="30"/>
        </w:rPr>
      </w:r>
    </w:p>
    <w:p>
      <w:pPr>
        <w:pStyle w:val="Normal"/>
        <w:rPr/>
      </w:pPr>
      <w:r>
        <w:rPr>
          <w:sz w:val="30"/>
          <w:szCs w:val="30"/>
        </w:rPr>
        <w:t xml:space="preserve">OGGETTO: MOZIONE </w:t>
      </w:r>
      <w:r>
        <w:rPr/>
        <w:t xml:space="preserve">per la DIGITALIZZAZIONE </w:t>
      </w:r>
    </w:p>
    <w:p>
      <w:pPr>
        <w:pStyle w:val="Normal"/>
        <w:rPr/>
      </w:pPr>
      <w:r>
        <w:rPr/>
      </w:r>
    </w:p>
    <w:p>
      <w:pPr>
        <w:pStyle w:val="Normal"/>
        <w:rPr>
          <w:sz w:val="28"/>
          <w:szCs w:val="28"/>
        </w:rPr>
      </w:pPr>
      <w:r>
        <w:rPr>
          <w:sz w:val="28"/>
          <w:szCs w:val="28"/>
        </w:rPr>
        <w:t>In osservanza al programma su cui l’attuale Governo si era impegnato, per incentivare il processo di digitalizzazione della Pubblica Amministrazione (PA), con il Decreto Rilancio sono stati stanziati 50milioni di euro a favore di un Fondo per l’Innovazione Tecnologica e la Digitalizzazione.</w:t>
      </w:r>
    </w:p>
    <w:p>
      <w:pPr>
        <w:pStyle w:val="Normal"/>
        <w:rPr>
          <w:sz w:val="28"/>
          <w:szCs w:val="28"/>
        </w:rPr>
      </w:pPr>
      <w:r>
        <w:rPr>
          <w:sz w:val="28"/>
          <w:szCs w:val="28"/>
        </w:rPr>
        <w:t>L’obiettivo è aumentare sensibilmente il numero di pratiche della PA che cittadini e imprese potranno svolgere in via telematica, semplificando altresì le procedure e riducendo i tempi necessari per lo svolgimento delle operazioni necessarie.</w:t>
      </w:r>
    </w:p>
    <w:p>
      <w:pPr>
        <w:pStyle w:val="Normal"/>
        <w:rPr>
          <w:sz w:val="28"/>
          <w:szCs w:val="28"/>
        </w:rPr>
      </w:pPr>
      <w:r>
        <w:rPr>
          <w:sz w:val="28"/>
          <w:szCs w:val="28"/>
        </w:rPr>
        <w:t>Grazie alle risorse messe a disposizione con questo nuovo Fondo, viene data la possibilità a tutte le Amministrazioni di ammodernare e rinforzare il proprio sistema digitale per renderlo più efficiente.</w:t>
      </w:r>
    </w:p>
    <w:p>
      <w:pPr>
        <w:pStyle w:val="Normal"/>
        <w:rPr>
          <w:sz w:val="28"/>
          <w:szCs w:val="28"/>
        </w:rPr>
      </w:pPr>
      <w:r>
        <w:rPr>
          <w:sz w:val="28"/>
          <w:szCs w:val="28"/>
        </w:rPr>
        <w:t xml:space="preserve">Sarà possibile accrescere la quantità di servizi ottenibili, attraverso una specifica piattaforma (IO) che trova il suo fondamento normativo nell’art. 64 bis del nuovo Codice dell’Amministrazione Digitale (CAD) </w:t>
      </w:r>
    </w:p>
    <w:p>
      <w:pPr>
        <w:pStyle w:val="Normal"/>
        <w:rPr>
          <w:sz w:val="28"/>
          <w:szCs w:val="28"/>
        </w:rPr>
      </w:pPr>
      <w:r>
        <w:rPr>
          <w:sz w:val="28"/>
          <w:szCs w:val="28"/>
        </w:rPr>
        <w:t>Una applicazione, questa, che permette di svolgere tutte le operazioni anche con un semplice smart-phone.</w:t>
      </w:r>
    </w:p>
    <w:p>
      <w:pPr>
        <w:pStyle w:val="Normal"/>
        <w:rPr>
          <w:sz w:val="28"/>
          <w:szCs w:val="28"/>
        </w:rPr>
      </w:pPr>
      <w:r>
        <w:rPr>
          <w:sz w:val="28"/>
          <w:szCs w:val="28"/>
        </w:rPr>
        <w:t>La norma ha previsto un unico punto di accesso telematico ai sevizi delle Pubbliche Amministrazioni e sottolinea l’esigenza di attuare un cambiamento fondamentale nei rapporti cittadino/impresa e PA, incentrato su tre aspetti chiave: SEMPLICITA’-RAPIDITA’-TRASPARENZA.</w:t>
      </w:r>
    </w:p>
    <w:p>
      <w:pPr>
        <w:pStyle w:val="Normal"/>
        <w:rPr>
          <w:sz w:val="28"/>
          <w:szCs w:val="28"/>
        </w:rPr>
      </w:pPr>
      <w:r>
        <w:rPr>
          <w:sz w:val="28"/>
          <w:szCs w:val="28"/>
        </w:rPr>
      </w:r>
    </w:p>
    <w:p>
      <w:pPr>
        <w:pStyle w:val="Normal"/>
        <w:rPr>
          <w:sz w:val="28"/>
          <w:szCs w:val="28"/>
        </w:rPr>
      </w:pPr>
      <w:r>
        <w:rPr>
          <w:sz w:val="28"/>
          <w:szCs w:val="28"/>
        </w:rPr>
        <w:t>Gli interventi per realizzare tali obiettivi non saranno solo tecnologici ma anche formativi, amministrativi, procedurali. Gli stanziamenti potranno essere utilizzati, oltre che per acquisti di software, per sostenere la realizzazione di cambiamenti necessari finalizzati a rendere più agili i rapporti tra cittadini e macchina pubblica.</w:t>
      </w:r>
    </w:p>
    <w:p>
      <w:pPr>
        <w:pStyle w:val="Normal"/>
        <w:rPr>
          <w:rFonts w:ascii="Linux Biolinum G" w:hAnsi="Linux Biolinum G"/>
          <w:sz w:val="28"/>
          <w:szCs w:val="28"/>
        </w:rPr>
      </w:pPr>
      <w:r>
        <w:rPr>
          <w:rFonts w:ascii="Linux Biolinum G" w:hAnsi="Linux Biolinum G"/>
          <w:sz w:val="28"/>
          <w:szCs w:val="28"/>
        </w:rPr>
        <w:t>Quella che abbiamo davanti è una grande sfida, il segno del cambiamento in atto nel Paese.</w:t>
      </w:r>
    </w:p>
    <w:p>
      <w:pPr>
        <w:pStyle w:val="Normal"/>
        <w:rPr>
          <w:rFonts w:ascii="Linux Biolinum G" w:hAnsi="Linux Biolinum G"/>
          <w:sz w:val="28"/>
          <w:szCs w:val="28"/>
        </w:rPr>
      </w:pPr>
      <w:r>
        <w:rPr>
          <w:rFonts w:ascii="Linux Biolinum G" w:hAnsi="Linux Biolinum G"/>
          <w:sz w:val="28"/>
          <w:szCs w:val="28"/>
        </w:rPr>
        <w:t>La digitalizzazione non ha confini regionali o comunali, e non deve essere gestita a compartimenti stagni.</w:t>
      </w:r>
    </w:p>
    <w:p>
      <w:pPr>
        <w:pStyle w:val="Normal"/>
        <w:rPr>
          <w:rFonts w:ascii="Linux Biolinum G" w:hAnsi="Linux Biolinum G"/>
          <w:sz w:val="28"/>
          <w:szCs w:val="28"/>
        </w:rPr>
      </w:pPr>
      <w:r>
        <w:rPr>
          <w:rFonts w:ascii="Linux Biolinum G" w:hAnsi="Linux Biolinum G"/>
          <w:sz w:val="28"/>
          <w:szCs w:val="28"/>
        </w:rPr>
        <w:t>Agli occhi dei cittadini, l’Italia deve risultare un unico grande Comune, una sola grande Amministrazione dove non è importante se il cambio di residenza viene fatto a Casalgrande, Castellarano, Roma, Napoli o Milano, e dove la diversa tipologia dei servizi erogati, come i servizi legati al lavoro, la salute e alla scuola, non deve incidere sul cittadino in modo diverso, rendendo complicata la fruizione dei servizi stessi.</w:t>
      </w:r>
    </w:p>
    <w:p>
      <w:pPr>
        <w:pStyle w:val="Normal"/>
        <w:rPr>
          <w:rFonts w:ascii="Linux Biolinum G" w:hAnsi="Linux Biolinum G"/>
          <w:sz w:val="28"/>
          <w:szCs w:val="28"/>
        </w:rPr>
      </w:pPr>
      <w:r>
        <w:rPr>
          <w:rFonts w:ascii="Linux Biolinum G" w:hAnsi="Linux Biolinum G"/>
          <w:sz w:val="28"/>
          <w:szCs w:val="28"/>
        </w:rPr>
        <w:t>Il nostro cittadino è cittadino, sia quando lavora, sia quando ha problemi di salute e necessita di cure mediche, sia quando deve occuparsi dei figli e della loro scuola, sia quando deve dialogare con la giustizia.</w:t>
      </w:r>
    </w:p>
    <w:p>
      <w:pPr>
        <w:pStyle w:val="Normal"/>
        <w:rPr>
          <w:rFonts w:ascii="Linux Biolinum G" w:hAnsi="Linux Biolinum G"/>
          <w:sz w:val="28"/>
          <w:szCs w:val="28"/>
        </w:rPr>
      </w:pPr>
      <w:r>
        <w:rPr>
          <w:rFonts w:ascii="Linux Biolinum G" w:hAnsi="Linux Biolinum G"/>
          <w:sz w:val="28"/>
          <w:szCs w:val="28"/>
        </w:rPr>
        <w:t>Deve poter accedere a tutti i servizi nello stesso modo, con le stesse credenziali, e pagare o ricevere bonus con la stessa modalità.</w:t>
      </w:r>
    </w:p>
    <w:p>
      <w:pPr>
        <w:pStyle w:val="Normal"/>
        <w:rPr>
          <w:rFonts w:ascii="Linux Biolinum G" w:hAnsi="Linux Biolinum G"/>
          <w:sz w:val="28"/>
          <w:szCs w:val="28"/>
        </w:rPr>
      </w:pPr>
      <w:r>
        <w:rPr>
          <w:rFonts w:ascii="Linux Biolinum G" w:hAnsi="Linux Biolinum G"/>
          <w:sz w:val="28"/>
          <w:szCs w:val="28"/>
        </w:rPr>
        <w:t>E’ questa la vera grande sfida, diventare una sola Pubblica Amministrazione agile, efficiente e innovativa a beneficio dei nostri cittadini e del nostro Paese.</w:t>
      </w:r>
    </w:p>
    <w:p>
      <w:pPr>
        <w:pStyle w:val="Normal"/>
        <w:rPr>
          <w:rFonts w:ascii="Linux Biolinum G" w:hAnsi="Linux Biolinum G"/>
          <w:sz w:val="28"/>
          <w:szCs w:val="28"/>
        </w:rPr>
      </w:pPr>
      <w:r>
        <w:rPr>
          <w:rFonts w:ascii="Linux Biolinum G" w:hAnsi="Linux Biolinum G"/>
          <w:sz w:val="28"/>
          <w:szCs w:val="28"/>
        </w:rPr>
      </w:r>
    </w:p>
    <w:p>
      <w:pPr>
        <w:pStyle w:val="Normal"/>
        <w:rPr>
          <w:rFonts w:ascii="Linux Biolinum G" w:hAnsi="Linux Biolinum G"/>
          <w:sz w:val="28"/>
          <w:szCs w:val="28"/>
        </w:rPr>
      </w:pPr>
      <w:r>
        <w:rPr>
          <w:rFonts w:ascii="Linux Biolinum G" w:hAnsi="Linux Biolinum G"/>
          <w:sz w:val="28"/>
          <w:szCs w:val="28"/>
        </w:rPr>
        <w:t>Visti,</w:t>
      </w:r>
    </w:p>
    <w:p>
      <w:pPr>
        <w:pStyle w:val="Normal"/>
        <w:rPr>
          <w:rFonts w:ascii="Linux Biolinum G" w:hAnsi="Linux Biolinum G"/>
          <w:sz w:val="28"/>
          <w:szCs w:val="28"/>
        </w:rPr>
      </w:pPr>
      <w:r>
        <w:rPr>
          <w:rFonts w:ascii="Linux Biolinum G" w:hAnsi="Linux Biolinum G"/>
          <w:sz w:val="28"/>
          <w:szCs w:val="28"/>
        </w:rPr>
      </w:r>
    </w:p>
    <w:p>
      <w:pPr>
        <w:pStyle w:val="Normal"/>
        <w:rPr>
          <w:rFonts w:ascii="Linux Biolinum G" w:hAnsi="Linux Biolinum G"/>
          <w:sz w:val="28"/>
          <w:szCs w:val="28"/>
        </w:rPr>
      </w:pPr>
      <w:r>
        <w:rPr>
          <w:rFonts w:ascii="Linux Biolinum G" w:hAnsi="Linux Biolinum G"/>
          <w:sz w:val="28"/>
          <w:szCs w:val="28"/>
        </w:rPr>
        <w:t>- Il DL n. 76/2020</w:t>
      </w:r>
    </w:p>
    <w:p>
      <w:pPr>
        <w:pStyle w:val="Normal"/>
        <w:rPr>
          <w:rFonts w:ascii="Linux Biolinum G" w:hAnsi="Linux Biolinum G"/>
          <w:sz w:val="28"/>
          <w:szCs w:val="28"/>
        </w:rPr>
      </w:pPr>
      <w:r>
        <w:rPr>
          <w:rFonts w:ascii="Linux Biolinum G" w:hAnsi="Linux Biolinum G"/>
          <w:sz w:val="28"/>
          <w:szCs w:val="28"/>
        </w:rPr>
        <w:t>- La Legge di Conversione n. 120/2020 con la quale si rende operativo il suddetto DL</w:t>
      </w:r>
    </w:p>
    <w:p>
      <w:pPr>
        <w:pStyle w:val="Normal"/>
        <w:rPr>
          <w:rFonts w:ascii="Linux Biolinum G" w:hAnsi="Linux Biolinum G"/>
          <w:sz w:val="28"/>
          <w:szCs w:val="28"/>
        </w:rPr>
      </w:pPr>
      <w:r>
        <w:rPr>
          <w:rFonts w:ascii="Linux Biolinum G" w:hAnsi="Linux Biolinum G"/>
          <w:sz w:val="28"/>
          <w:szCs w:val="28"/>
        </w:rPr>
      </w:r>
    </w:p>
    <w:p>
      <w:pPr>
        <w:pStyle w:val="Normal"/>
        <w:rPr>
          <w:rFonts w:ascii="Linux Biolinum G" w:hAnsi="Linux Biolinum G"/>
          <w:sz w:val="28"/>
          <w:szCs w:val="28"/>
        </w:rPr>
      </w:pPr>
      <w:r>
        <w:rPr>
          <w:rFonts w:ascii="Linux Biolinum G" w:hAnsi="Linux Biolinum G"/>
          <w:sz w:val="28"/>
          <w:szCs w:val="28"/>
        </w:rPr>
        <w:t>Considerato che,</w:t>
      </w:r>
    </w:p>
    <w:p>
      <w:pPr>
        <w:pStyle w:val="Normal"/>
        <w:rPr>
          <w:rFonts w:ascii="Linux Biolinum G" w:hAnsi="Linux Biolinum G"/>
          <w:sz w:val="28"/>
          <w:szCs w:val="28"/>
        </w:rPr>
      </w:pPr>
      <w:r>
        <w:rPr>
          <w:rFonts w:ascii="Linux Biolinum G" w:hAnsi="Linux Biolinum G"/>
          <w:sz w:val="28"/>
          <w:szCs w:val="28"/>
        </w:rPr>
      </w:r>
    </w:p>
    <w:p>
      <w:pPr>
        <w:pStyle w:val="Normal"/>
        <w:rPr>
          <w:rFonts w:ascii="Linux Biolinum G" w:hAnsi="Linux Biolinum G"/>
          <w:sz w:val="28"/>
          <w:szCs w:val="28"/>
        </w:rPr>
      </w:pPr>
      <w:r>
        <w:rPr>
          <w:rFonts w:ascii="Linux Biolinum G" w:hAnsi="Linux Biolinum G"/>
          <w:sz w:val="28"/>
          <w:szCs w:val="28"/>
        </w:rPr>
        <w:t>- Entro il 28 febbraio 2021, tutte le Amministrazioni sono tenute ad avviare il passaggio dalle diverse modalità di autenticazione on-line al Sistema Pubblico di Identità Digitale – SPID e alla Carta di Identità Elettronica</w:t>
      </w:r>
    </w:p>
    <w:p>
      <w:pPr>
        <w:pStyle w:val="Normal"/>
        <w:rPr>
          <w:rFonts w:ascii="Linux Biolinum G" w:hAnsi="Linux Biolinum G"/>
          <w:sz w:val="28"/>
          <w:szCs w:val="28"/>
        </w:rPr>
      </w:pPr>
      <w:r>
        <w:rPr>
          <w:rFonts w:ascii="Linux Biolinum G" w:hAnsi="Linux Biolinum G"/>
          <w:sz w:val="28"/>
          <w:szCs w:val="28"/>
        </w:rPr>
        <w:t>- Da tale data le Amministrazioni non potranno più rilasciare o rinnovare le vecchie credenziali (potranno essere utilizzate le credenziali rilasciate in precedenza fino alla loro naturale scadenza e non oltre il 30 settembre 2021)</w:t>
      </w:r>
    </w:p>
    <w:p>
      <w:pPr>
        <w:pStyle w:val="Normal"/>
        <w:rPr>
          <w:rFonts w:ascii="Linux Biolinum G" w:hAnsi="Linux Biolinum G"/>
          <w:sz w:val="28"/>
          <w:szCs w:val="28"/>
        </w:rPr>
      </w:pPr>
      <w:r>
        <w:rPr>
          <w:rFonts w:ascii="Linux Biolinum G" w:hAnsi="Linux Biolinum G"/>
          <w:sz w:val="28"/>
          <w:szCs w:val="28"/>
        </w:rPr>
        <w:t>- Dovranno inoltre integrare i loro servizi digitali con la Piattaforma pago PA per i pagamenti elettronici e avviare la migrazione, ossia l’inserimento dei servizi digitali, all’interno dell’applicazione IO, per poterli utilizzare anche da cellulare.</w:t>
      </w:r>
    </w:p>
    <w:p>
      <w:pPr>
        <w:pStyle w:val="Normal"/>
        <w:rPr>
          <w:rFonts w:ascii="Linux Biolinum G" w:hAnsi="Linux Biolinum G"/>
          <w:sz w:val="28"/>
          <w:szCs w:val="28"/>
        </w:rPr>
      </w:pPr>
      <w:r>
        <w:rPr>
          <w:rFonts w:ascii="Linux Biolinum G" w:hAnsi="Linux Biolinum G"/>
          <w:sz w:val="28"/>
          <w:szCs w:val="28"/>
        </w:rPr>
        <w:t>- I Comuni possono presentare la domanda di adesione al Bando per accedere alle risorse del Fondo predisposto dal Ministero per l’Innovazione Tecnologica e la Digitalizzazione  entro il 15 gennaio del 2021,  seguendo la procedura on line disponibile sul sito pagoPA.gov.it.</w:t>
      </w:r>
    </w:p>
    <w:p>
      <w:pPr>
        <w:pStyle w:val="Normal"/>
        <w:rPr>
          <w:rFonts w:ascii="Linux Biolinum G" w:hAnsi="Linux Biolinum G"/>
          <w:sz w:val="28"/>
          <w:szCs w:val="28"/>
        </w:rPr>
      </w:pPr>
      <w:r>
        <w:rPr>
          <w:rFonts w:ascii="Linux Biolinum G" w:hAnsi="Linux Biolinum G"/>
          <w:sz w:val="28"/>
          <w:szCs w:val="28"/>
        </w:rPr>
      </w:r>
    </w:p>
    <w:p>
      <w:pPr>
        <w:pStyle w:val="Normal"/>
        <w:rPr>
          <w:rFonts w:ascii="Linux Biolinum G" w:hAnsi="Linux Biolinum G"/>
          <w:sz w:val="28"/>
          <w:szCs w:val="28"/>
        </w:rPr>
      </w:pPr>
      <w:r>
        <w:rPr>
          <w:rFonts w:ascii="Linux Biolinum G" w:hAnsi="Linux Biolinum G"/>
          <w:sz w:val="28"/>
          <w:szCs w:val="28"/>
        </w:rPr>
        <w:t>Tutto ciò premesso;</w:t>
      </w:r>
    </w:p>
    <w:p>
      <w:pPr>
        <w:pStyle w:val="Normal"/>
        <w:rPr>
          <w:rFonts w:ascii="Linux Biolinum G" w:hAnsi="Linux Biolinum G"/>
          <w:sz w:val="28"/>
          <w:szCs w:val="28"/>
        </w:rPr>
      </w:pPr>
      <w:r>
        <w:rPr>
          <w:rFonts w:ascii="Linux Biolinum G" w:hAnsi="Linux Biolinum G"/>
          <w:sz w:val="28"/>
          <w:szCs w:val="28"/>
        </w:rPr>
      </w:r>
    </w:p>
    <w:p>
      <w:pPr>
        <w:pStyle w:val="Normal"/>
        <w:rPr>
          <w:rFonts w:ascii="Linux Biolinum G" w:hAnsi="Linux Biolinum G"/>
          <w:sz w:val="28"/>
          <w:szCs w:val="28"/>
        </w:rPr>
      </w:pPr>
      <w:r>
        <w:rPr>
          <w:rFonts w:ascii="Linux Biolinum G" w:hAnsi="Linux Biolinum G"/>
          <w:sz w:val="28"/>
          <w:szCs w:val="28"/>
        </w:rPr>
        <w:t xml:space="preserve">Chiediamo all’Amministrazione del Comune di Casalgrande </w:t>
      </w:r>
    </w:p>
    <w:p>
      <w:pPr>
        <w:pStyle w:val="Normal"/>
        <w:rPr>
          <w:rFonts w:ascii="Linux Biolinum G" w:hAnsi="Linux Biolinum G"/>
          <w:sz w:val="28"/>
          <w:szCs w:val="28"/>
        </w:rPr>
      </w:pPr>
      <w:r>
        <w:rPr>
          <w:rFonts w:ascii="Linux Biolinum G" w:hAnsi="Linux Biolinum G"/>
          <w:sz w:val="28"/>
          <w:szCs w:val="28"/>
        </w:rPr>
      </w:r>
    </w:p>
    <w:p>
      <w:pPr>
        <w:pStyle w:val="Normal"/>
        <w:rPr>
          <w:rFonts w:ascii="Linux Biolinum G" w:hAnsi="Linux Biolinum G"/>
          <w:sz w:val="28"/>
          <w:szCs w:val="28"/>
        </w:rPr>
      </w:pPr>
      <w:r>
        <w:rPr>
          <w:rFonts w:ascii="Linux Biolinum G" w:hAnsi="Linux Biolinum G"/>
          <w:sz w:val="28"/>
          <w:szCs w:val="28"/>
        </w:rPr>
        <w:t>di attivare entro il termine stabilito (15 gennaio 2021), tutte le procedure necessarie per aderire al Bando quale condizione necessaria per accedere alle risorse del Fondo messo a disposizione dal Governo Centrale.</w:t>
      </w:r>
    </w:p>
    <w:p>
      <w:pPr>
        <w:pStyle w:val="Normal"/>
        <w:rPr>
          <w:sz w:val="28"/>
          <w:szCs w:val="28"/>
        </w:rPr>
      </w:pPr>
      <w:r>
        <w:rPr>
          <w:sz w:val="28"/>
          <w:szCs w:val="28"/>
        </w:rPr>
      </w:r>
    </w:p>
    <w:p>
      <w:pPr>
        <w:pStyle w:val="Normal"/>
        <w:rPr>
          <w:sz w:val="28"/>
          <w:szCs w:val="28"/>
        </w:rPr>
      </w:pPr>
      <w:r>
        <w:rPr>
          <w:sz w:val="28"/>
          <w:szCs w:val="28"/>
        </w:rPr>
        <w:t>Casalgrande 30 12 2020                                                                     Bottazzi Giorgio</w:t>
      </w:r>
    </w:p>
    <w:p>
      <w:pPr>
        <w:pStyle w:val="Testopreformattato"/>
        <w:rPr>
          <w:rFonts w:ascii="Fira Sans;Arial;Helvetica;sans-" w:hAnsi="Fira Sans;Arial;Helvetica;sans-"/>
          <w:color w:val="000000"/>
          <w:sz w:val="23"/>
        </w:rPr>
      </w:pPr>
      <w:r>
        <w:rPr>
          <w:rFonts w:ascii="Fira Sans;Arial;Helvetica;sans-" w:hAnsi="Fira Sans;Arial;Helvetica;sans-"/>
          <w:color w:val="000000"/>
          <w:sz w:val="23"/>
        </w:rPr>
      </w:r>
    </w:p>
    <w:p>
      <w:pPr>
        <w:pStyle w:val="Testopreformattato"/>
        <w:rPr>
          <w:rFonts w:ascii="Titillium Web" w:hAnsi="Titillium Web"/>
          <w:color w:val="00264C"/>
        </w:rPr>
      </w:pPr>
      <w:r>
        <w:rPr>
          <w:rFonts w:ascii="Titillium Web" w:hAnsi="Titillium Web"/>
          <w:color w:val="00264C"/>
        </w:rPr>
      </w:r>
    </w:p>
    <w:p>
      <w:pPr>
        <w:pStyle w:val="Testopreformattato"/>
        <w:rPr>
          <w:sz w:val="24"/>
        </w:rPr>
      </w:pPr>
      <w:r>
        <w:rPr>
          <w:sz w:val="24"/>
        </w:rPr>
      </w:r>
    </w:p>
    <w:p>
      <w:pPr>
        <w:pStyle w:val="Testopreformattato"/>
        <w:rPr>
          <w:color w:val="444444"/>
          <w:sz w:val="24"/>
        </w:rPr>
      </w:pPr>
      <w:r>
        <w:rPr>
          <w:rFonts w:ascii="Fira Sans Light;Arial;Helvetica" w:hAnsi="Fira Sans Light;Arial;Helvetica"/>
          <w:color w:val="000000"/>
          <w:sz w:val="23"/>
        </w:rPr>
        <w:t>.</w:t>
      </w:r>
      <w:r>
        <w:rPr>
          <w:color w:val="444444"/>
          <w:sz w:val="24"/>
        </w:rPr>
        <w:t xml:space="preserve"> </w:t>
      </w:r>
    </w:p>
    <w:p>
      <w:pPr>
        <w:pStyle w:val="Testopreformattato"/>
        <w:rPr>
          <w:sz w:val="24"/>
        </w:rPr>
      </w:pPr>
      <w:r>
        <w:rPr>
          <w:sz w:val="24"/>
        </w:rPr>
      </w:r>
    </w:p>
    <w:p>
      <w:pPr>
        <w:pStyle w:val="Corpodeltesto"/>
        <w:spacing w:lineRule="auto" w:line="360" w:before="0" w:after="0"/>
        <w:rPr/>
      </w:pPr>
      <w:r>
        <w:rPr>
          <w:rFonts w:ascii="Titillium Web" w:hAnsi="Titillium Web"/>
          <w:color w:val="00264C"/>
        </w:rPr>
        <w:t> </w:t>
      </w:r>
    </w:p>
    <w:p>
      <w:pPr>
        <w:pStyle w:val="Testopreformattato"/>
        <w:rPr>
          <w:sz w:val="24"/>
        </w:rPr>
      </w:pPr>
      <w:r>
        <w:rPr>
          <w:sz w:val="24"/>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 w:name="Cambria Math">
    <w:charset w:val="00"/>
    <w:family w:val="roman"/>
    <w:pitch w:val="variable"/>
  </w:font>
  <w:font w:name="Linux Biolinum G">
    <w:charset w:val="00"/>
    <w:family w:val="roman"/>
    <w:pitch w:val="variable"/>
  </w:font>
  <w:font w:name="Fira Sans">
    <w:altName w:val="Arial"/>
    <w:charset w:val="00"/>
    <w:family w:val="roman"/>
    <w:pitch w:val="variable"/>
  </w:font>
  <w:font w:name="Titillium Web">
    <w:charset w:val="00"/>
    <w:family w:val="roman"/>
    <w:pitch w:val="variable"/>
  </w:font>
  <w:font w:name="Fira Sans Light">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NSimSun" w:cs="Lucida Sans"/>
      <w:color w:val="auto"/>
      <w:sz w:val="24"/>
      <w:szCs w:val="24"/>
      <w:lang w:val="it-IT" w:eastAsia="zh-CN" w:bidi="hi-IN"/>
    </w:rPr>
  </w:style>
  <w:style w:type="character" w:styleId="DefaultParagraphFont" w:default="1">
    <w:name w:val="Default Paragraph Font"/>
    <w:uiPriority w:val="1"/>
    <w:semiHidden/>
    <w:unhideWhenUsed/>
    <w:qFormat/>
    <w:rPr/>
  </w:style>
  <w:style w:type="character" w:styleId="Enfasi" w:customStyle="1">
    <w:name w:val="Enfasi"/>
    <w:qFormat/>
    <w:rPr>
      <w:i/>
      <w:iCs/>
    </w:rPr>
  </w:style>
  <w:style w:type="character" w:styleId="Enfasiforte" w:customStyle="1">
    <w:name w:val="Enfasi forte"/>
    <w:qFormat/>
    <w:rPr>
      <w:b/>
      <w:bCs/>
    </w:rPr>
  </w:style>
  <w:style w:type="character" w:styleId="CollegamentoInternet" w:customStyle="1">
    <w:name w:val="Collegamento Internet"/>
    <w:rPr>
      <w:color w:val="000080"/>
      <w:u w:val="single"/>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uiPriority w:val="10"/>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Testopreformattato" w:customStyle="1">
    <w:name w:val="Testo preformattato"/>
    <w:basedOn w:val="Normal"/>
    <w:qFormat/>
    <w:pPr/>
    <w:rPr>
      <w:rFonts w:ascii="Liberation Mono" w:hAnsi="Liberation Mono" w:cs="Liberation Mono"/>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LibreOffice/5.3.3.2$Windows_x86 LibreOffice_project/3d9a8b4b4e538a85e0782bd6c2d430bafe583448</Application>
  <Pages>3</Pages>
  <Words>653</Words>
  <Characters>3755</Characters>
  <CharactersWithSpaces>4454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2020-12-27T11:59:00Z</dcterms:created>
  <dc:creator/>
  <dc:description/>
  <dc:language>it-IT</dc:language>
  <cp:lastModifiedBy>ANDREA BOTTAZZI</cp:lastModifiedBy>
  <dcterms:modified xsi:type="dcterms:W3CDTF">2020-12-28T23:56:00Z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